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CellSpacing w:w="0" w:type="dxa"/>
        <w:tblCellMar>
          <w:left w:w="0" w:type="dxa"/>
          <w:right w:w="0" w:type="dxa"/>
        </w:tblCellMar>
        <w:tblLook w:val="04A0" w:firstRow="1" w:lastRow="0" w:firstColumn="1" w:lastColumn="0" w:noHBand="0" w:noVBand="1"/>
      </w:tblPr>
      <w:tblGrid>
        <w:gridCol w:w="1950"/>
        <w:gridCol w:w="6981"/>
      </w:tblGrid>
      <w:tr w:rsidR="005C3801" w:rsidRPr="005C3801" w:rsidTr="005C3801">
        <w:trPr>
          <w:tblCellSpacing w:w="0" w:type="dxa"/>
        </w:trPr>
        <w:tc>
          <w:tcPr>
            <w:tcW w:w="1950" w:type="dxa"/>
            <w:vAlign w:val="center"/>
            <w:hideMark/>
          </w:tcPr>
          <w:p w:rsidR="005C3801" w:rsidRPr="005C3801" w:rsidRDefault="005C3801" w:rsidP="005C3801">
            <w:pPr>
              <w:spacing w:line="255" w:lineRule="atLeast"/>
              <w:jc w:val="both"/>
              <w:rPr>
                <w:rFonts w:ascii="Tahoma" w:eastAsia="Times New Roman" w:hAnsi="Tahoma" w:cs="Tahoma"/>
                <w:color w:val="000000"/>
                <w:sz w:val="18"/>
                <w:szCs w:val="18"/>
                <w:lang w:val="tr-TR" w:eastAsia="tr-TR" w:bidi="ar-SA"/>
              </w:rPr>
            </w:pPr>
            <w:bookmarkStart w:id="0" w:name="_GoBack"/>
            <w:bookmarkEnd w:id="0"/>
            <w:r w:rsidRPr="005C3801">
              <w:rPr>
                <w:rFonts w:ascii="Tahoma" w:eastAsia="Times New Roman" w:hAnsi="Tahoma" w:cs="Tahoma"/>
                <w:b/>
                <w:bCs/>
                <w:color w:val="000000"/>
                <w:sz w:val="18"/>
                <w:szCs w:val="18"/>
                <w:lang w:val="tr-TR" w:eastAsia="tr-TR" w:bidi="ar-SA"/>
              </w:rPr>
              <w:t>Kanun Adı:</w:t>
            </w:r>
          </w:p>
        </w:tc>
        <w:tc>
          <w:tcPr>
            <w:tcW w:w="6981" w:type="dxa"/>
            <w:vAlign w:val="center"/>
            <w:hideMark/>
          </w:tcPr>
          <w:p w:rsidR="005C3801" w:rsidRPr="005C3801" w:rsidRDefault="005C3801" w:rsidP="005C3801">
            <w:pPr>
              <w:spacing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KÜLTÜR YATIRIMLARI VE GİRİŞİMLERİ TEŞVİK KANUNU</w:t>
            </w:r>
          </w:p>
        </w:tc>
      </w:tr>
      <w:tr w:rsidR="005C3801" w:rsidRPr="005C3801" w:rsidTr="005C3801">
        <w:trPr>
          <w:tblCellSpacing w:w="0" w:type="dxa"/>
        </w:trPr>
        <w:tc>
          <w:tcPr>
            <w:tcW w:w="1950" w:type="dxa"/>
            <w:vAlign w:val="center"/>
            <w:hideMark/>
          </w:tcPr>
          <w:p w:rsidR="005C3801" w:rsidRPr="005C3801" w:rsidRDefault="005C3801" w:rsidP="005C3801">
            <w:pPr>
              <w:spacing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t>Kanun No:</w:t>
            </w:r>
          </w:p>
        </w:tc>
        <w:tc>
          <w:tcPr>
            <w:tcW w:w="6981" w:type="dxa"/>
            <w:vAlign w:val="center"/>
            <w:hideMark/>
          </w:tcPr>
          <w:p w:rsidR="005C3801" w:rsidRPr="005C3801" w:rsidRDefault="005C3801" w:rsidP="005C3801">
            <w:pPr>
              <w:spacing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5225</w:t>
            </w:r>
          </w:p>
        </w:tc>
      </w:tr>
      <w:tr w:rsidR="005C3801" w:rsidRPr="005C3801" w:rsidTr="005C3801">
        <w:trPr>
          <w:tblCellSpacing w:w="0" w:type="dxa"/>
        </w:trPr>
        <w:tc>
          <w:tcPr>
            <w:tcW w:w="1950" w:type="dxa"/>
            <w:vAlign w:val="center"/>
            <w:hideMark/>
          </w:tcPr>
          <w:p w:rsidR="005C3801" w:rsidRPr="005C3801" w:rsidRDefault="005C3801" w:rsidP="005C3801">
            <w:pPr>
              <w:spacing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t>Kabul Tarihi:</w:t>
            </w:r>
          </w:p>
        </w:tc>
        <w:tc>
          <w:tcPr>
            <w:tcW w:w="6981" w:type="dxa"/>
            <w:vAlign w:val="center"/>
            <w:hideMark/>
          </w:tcPr>
          <w:p w:rsidR="005C3801" w:rsidRPr="005C3801" w:rsidRDefault="005C3801" w:rsidP="005C3801">
            <w:pPr>
              <w:spacing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14/7/2004</w:t>
            </w:r>
          </w:p>
        </w:tc>
      </w:tr>
      <w:tr w:rsidR="005C3801" w:rsidRPr="005C3801" w:rsidTr="005C3801">
        <w:trPr>
          <w:tblCellSpacing w:w="0" w:type="dxa"/>
        </w:trPr>
        <w:tc>
          <w:tcPr>
            <w:tcW w:w="1950" w:type="dxa"/>
            <w:vAlign w:val="center"/>
            <w:hideMark/>
          </w:tcPr>
          <w:p w:rsidR="005C3801" w:rsidRPr="005C3801" w:rsidRDefault="005C3801" w:rsidP="005C3801">
            <w:pPr>
              <w:spacing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t>Resmi Gazete Sayısı:</w:t>
            </w:r>
          </w:p>
        </w:tc>
        <w:tc>
          <w:tcPr>
            <w:tcW w:w="6981" w:type="dxa"/>
            <w:vAlign w:val="center"/>
            <w:hideMark/>
          </w:tcPr>
          <w:p w:rsidR="005C3801" w:rsidRPr="005C3801" w:rsidRDefault="005C3801" w:rsidP="005C3801">
            <w:pPr>
              <w:spacing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25529</w:t>
            </w:r>
          </w:p>
        </w:tc>
      </w:tr>
      <w:tr w:rsidR="005C3801" w:rsidRPr="005C3801" w:rsidTr="005C3801">
        <w:trPr>
          <w:tblCellSpacing w:w="0" w:type="dxa"/>
        </w:trPr>
        <w:tc>
          <w:tcPr>
            <w:tcW w:w="1950" w:type="dxa"/>
            <w:vAlign w:val="center"/>
            <w:hideMark/>
          </w:tcPr>
          <w:p w:rsidR="005C3801" w:rsidRPr="005C3801" w:rsidRDefault="005C3801" w:rsidP="005C3801">
            <w:pPr>
              <w:spacing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t>Resmi Gazete Tarihi:</w:t>
            </w:r>
          </w:p>
        </w:tc>
        <w:tc>
          <w:tcPr>
            <w:tcW w:w="6981" w:type="dxa"/>
            <w:vAlign w:val="center"/>
            <w:hideMark/>
          </w:tcPr>
          <w:p w:rsidR="005C3801" w:rsidRPr="005C3801" w:rsidRDefault="005C3801" w:rsidP="005C3801">
            <w:pPr>
              <w:spacing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21/7/2004</w:t>
            </w:r>
          </w:p>
        </w:tc>
      </w:tr>
    </w:tbl>
    <w:p w:rsidR="005C3801" w:rsidRP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color w:val="000000"/>
          <w:sz w:val="18"/>
          <w:szCs w:val="18"/>
          <w:lang w:val="tr-TR" w:eastAsia="tr-TR" w:bidi="ar-SA"/>
        </w:rPr>
        <w:br/>
      </w:r>
      <w:r w:rsidRPr="005C3801">
        <w:rPr>
          <w:rFonts w:ascii="Tahoma" w:eastAsia="Times New Roman" w:hAnsi="Tahoma" w:cs="Tahoma"/>
          <w:b/>
          <w:bCs/>
          <w:color w:val="000000"/>
          <w:sz w:val="18"/>
          <w:szCs w:val="18"/>
          <w:lang w:val="tr-TR" w:eastAsia="tr-TR" w:bidi="ar-SA"/>
        </w:rPr>
        <w:t>Amaç</w:t>
      </w:r>
      <w:r w:rsidRPr="005C3801">
        <w:rPr>
          <w:rFonts w:ascii="Tahoma" w:eastAsia="Times New Roman" w:hAnsi="Tahoma" w:cs="Tahoma"/>
          <w:b/>
          <w:bCs/>
          <w:color w:val="000000"/>
          <w:sz w:val="18"/>
          <w:szCs w:val="18"/>
          <w:lang w:val="tr-TR" w:eastAsia="tr-TR" w:bidi="ar-SA"/>
        </w:rPr>
        <w:br/>
        <w:t xml:space="preserve">Madde 1- </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9684"/>
      </w:tblGrid>
      <w:tr w:rsidR="005C3801" w:rsidRPr="005C3801" w:rsidTr="005C3801">
        <w:trPr>
          <w:tblCellSpacing w:w="15" w:type="dxa"/>
        </w:trPr>
        <w:tc>
          <w:tcPr>
            <w:tcW w:w="9624" w:type="dxa"/>
            <w:vAlign w:val="center"/>
            <w:hideMark/>
          </w:tcPr>
          <w:p w:rsidR="005C3801" w:rsidRPr="005C3801" w:rsidRDefault="005C3801" w:rsidP="005C3801">
            <w:pPr>
              <w:spacing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Bu Kanunun amacı; bireyin ve toplumun kültürel gereksinimlerinin karşılanmasını; kültür varlıkları ile somut olmayan kültürel mirasın korunmasını ve sürdürülebilir kültürün birer öğesi haline getirilmesini; kültürel iletişim ve etkileşim ortamının etkinleştirilmesini; sanatsal ve kültürel değerlerin üretilmesi, toplumun bu değerlere ulaşım olanaklarının yaratılması ve geliştirilmesini; ülkemizin kültür varlıklarının yaşatılması ve ülke ekonomisine katkı yaratan bir unsur olarak değerlendirilmesi, kullanılması ile kültür merkezlerinin yapımı ve işletilmesine yönelik kültür yatırımı ve kültür girişimlerinin teşvik edilmesini sağlamaktır. </w:t>
            </w:r>
          </w:p>
        </w:tc>
      </w:tr>
    </w:tbl>
    <w:p w:rsidR="005C3801" w:rsidRP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t>Kapsam</w:t>
      </w:r>
      <w:r w:rsidRPr="005C3801">
        <w:rPr>
          <w:rFonts w:ascii="Tahoma" w:eastAsia="Times New Roman" w:hAnsi="Tahoma" w:cs="Tahoma"/>
          <w:b/>
          <w:bCs/>
          <w:color w:val="000000"/>
          <w:sz w:val="18"/>
          <w:szCs w:val="18"/>
          <w:lang w:val="tr-TR" w:eastAsia="tr-TR" w:bidi="ar-SA"/>
        </w:rPr>
        <w:br/>
        <w:t xml:space="preserve">Madde 2- </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9684"/>
      </w:tblGrid>
      <w:tr w:rsidR="005C3801" w:rsidRPr="005C3801" w:rsidTr="005C3801">
        <w:trPr>
          <w:tblCellSpacing w:w="15" w:type="dxa"/>
        </w:trPr>
        <w:tc>
          <w:tcPr>
            <w:tcW w:w="9624" w:type="dxa"/>
            <w:vAlign w:val="center"/>
            <w:hideMark/>
          </w:tcPr>
          <w:p w:rsidR="005C3801" w:rsidRPr="005C3801" w:rsidRDefault="005C3801" w:rsidP="005C3801">
            <w:pPr>
              <w:spacing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Bu Kanun; münhasıran bu Kanunun amacına yönelik faaliyetlerde bulunmak üzere kurulan yerli veya yabancı tüzel kişilerin yatırım veya girişimlerinin teşvik edilmesi, belgelendirilmesi ve denetlenmesi işlemlerine ilişkin usul ve esasları kapsar. </w:t>
            </w:r>
          </w:p>
        </w:tc>
      </w:tr>
    </w:tbl>
    <w:p w:rsidR="005C3801" w:rsidRP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t>Tanımlar</w:t>
      </w:r>
      <w:r w:rsidRPr="005C3801">
        <w:rPr>
          <w:rFonts w:ascii="Tahoma" w:eastAsia="Times New Roman" w:hAnsi="Tahoma" w:cs="Tahoma"/>
          <w:b/>
          <w:bCs/>
          <w:color w:val="000000"/>
          <w:sz w:val="18"/>
          <w:szCs w:val="18"/>
          <w:lang w:val="tr-TR" w:eastAsia="tr-TR" w:bidi="ar-SA"/>
        </w:rPr>
        <w:br/>
        <w:t xml:space="preserve">Madde 3- </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9684"/>
      </w:tblGrid>
      <w:tr w:rsidR="005C3801" w:rsidRPr="005C3801" w:rsidTr="005C3801">
        <w:trPr>
          <w:tblCellSpacing w:w="15" w:type="dxa"/>
        </w:trPr>
        <w:tc>
          <w:tcPr>
            <w:tcW w:w="9624" w:type="dxa"/>
            <w:vAlign w:val="center"/>
            <w:hideMark/>
          </w:tcPr>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Bu Kanunda yer alan;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a) Bakanlık: Kültür ve Turizm Bakanlığını,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 Kültür merkezi: Bireyler arasında sosyal ve kültürel iletişim ve etkileşim ortamlarının kurulması ile ulusal kültürün yaşatılması temel amaçlarına dönük olmak üzere; asli unsur olarak güzel sanatlar, sinema, geleneksel ve çağdaş el sanatları gibi her türlü kültürel ve sanatsal faaliyetlerden en az birkaçının üretildiği, sergilendiği, bunların eğitim, öğretim ve bilimsel çalışmalarının yapıldığı bölümler ile sağlık, spor, eğitim ve alışveriş gibi gereksinimlerin karşılandığı birimlerin de bulunduğu yapıları,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c) Kültür varlığı: 2863 sayılı Kültür ve Tabiat Varlıklarını Koruma Kanunu kapsamında korunması gerekli taşınmaz kültür varlıklarını,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d) Somut olmayan kültürel miras: Sözlü kültür ortamlarında halk tarafından yaratılan ve halkbilimi araştırmaları içinde yer alan; sözlü anlatımlar ve sözlü gelenekler, gösteri sanatları, toplumsal uygulamalar, ritüel ve festivaller, halk bilgisi, evren ve doğa ile ilgili uygulamalar, el sanatları geleneği gibi kültürel ürünleri ve üretim süreçlerini,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e) Kültür yatırımı: Bu Kanunun amacı doğrultusunda, kültür merkezleri ile her türlü kültürel ve sanatsal faaliyetlerin üretildiği, sergilendiği, eğitim ve öğretimi ile bunlarla ilgili bilimsel çalışmaların yapıldığı alan, yapı ve mekanların yapımına, teknolojik alt yapıların kurulmasına veya donatılmasına yönelik yatırım faaliyetlerini,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f) Kültür girişimi: Bu Kanunun amacı doğrultusunda, kültür merkezlerinin işletilmesi veya her türlü kültürel ve sanatsal faaliyetlerin üretilmesi, sergilenmesi, eğitim ve öğretimi ile bunlara ilişkin bilimsel çalışmaların yapılması faaliyetleri ile bu faaliyetlerin yapıldığı alan, yapı veya mekanların işletilmesini,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g) Kültür yatırımı belgesi: Bu Kanunun amacına uygun yatırım yapanlara Bakanlıkça belli bir dönem için verilen belgeyi,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h) Kültür girişimi belgesi: Bu Kanunun amacı doğrultusundaki girişimlere Bakanlıkça verilen belgeyi,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i) Belgeli kültür yatırımı veya girişimi: Bakanlıkça belgelendirilmiş yatırım veya girişimleri,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lastRenderedPageBreak/>
              <w:t>İfade eder.</w:t>
            </w:r>
          </w:p>
        </w:tc>
      </w:tr>
    </w:tbl>
    <w:p w:rsid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lastRenderedPageBreak/>
        <w:t>Teşvik Konuları</w:t>
      </w:r>
    </w:p>
    <w:p w:rsidR="005C3801" w:rsidRP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br/>
        <w:t xml:space="preserve">Madde 4- </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9684"/>
      </w:tblGrid>
      <w:tr w:rsidR="005C3801" w:rsidRPr="005C3801" w:rsidTr="005C3801">
        <w:trPr>
          <w:tblCellSpacing w:w="15" w:type="dxa"/>
        </w:trPr>
        <w:tc>
          <w:tcPr>
            <w:tcW w:w="9624" w:type="dxa"/>
            <w:vAlign w:val="center"/>
            <w:hideMark/>
          </w:tcPr>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Bu Kanunda belirtilen kültür yatırımı veya girişimi kapsamındaki teşvik veya indirime konu olacak faaliyetler şunlardır: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a) Kültür merkezlerinin yapımı, onarımı ve işletilmesi.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 Kütüphane, arşiv, müze, sanat galerisi, sanat atölyesi, film platosu, sanatsal tasarım ünitesi, sanat stüdyosu ile sinema, tiyatro, opera, bale, konser ve benzeri kültürel ve sanatsal etkinliklerin ya da ürünlerin yapıldığı, üretildiği veya sergilendiği mekanlar ile kültürel ve sanatsal alanlara yönelik özel araştırma, eğitim veya uygulama merkezlerinin yapımı, onarımı veya işletilmesi.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c) 2863 sayılı Kanun kapsamındaki taşınmaz kültür varlıklarının, bu Kanunun amacı doğrultusunda kullanılması.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d) Kültür varlıkları ile somut olmayan kültürel mirasın araştırılması, derlenmesi, belgelendirilmesi, arşivlenmesi, yayınlanması, eğitimi, öğretimi ve tanıtılması faaliyetleri. </w:t>
            </w:r>
          </w:p>
        </w:tc>
      </w:tr>
    </w:tbl>
    <w:p w:rsid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t>Teşvik Unsurları</w:t>
      </w:r>
    </w:p>
    <w:p w:rsidR="005C3801" w:rsidRP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br/>
        <w:t xml:space="preserve">Madde 5- </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9684"/>
      </w:tblGrid>
      <w:tr w:rsidR="005C3801" w:rsidRPr="005C3801" w:rsidTr="005C3801">
        <w:trPr>
          <w:tblCellSpacing w:w="15" w:type="dxa"/>
        </w:trPr>
        <w:tc>
          <w:tcPr>
            <w:tcW w:w="9624" w:type="dxa"/>
            <w:vAlign w:val="center"/>
            <w:hideMark/>
          </w:tcPr>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Bu Kanun kapsamındaki kültür yatırımı ve girişimleri için uygulanacak teşvik unsurları şunlardır: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a) Taşınmaz mal tahsisi; Bakanlık, bu Kanun kapsamında kültür yatırımı ve girişimleri için taşınmaz mal tahsis etmeye yetkilidir. Bakanlıkça tahsisi uygun görülen taşınmaz mallardan;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1. Hazine adına tescilli olanlar Bakanlığın talebi üzerine Maliye Bakanlığının uygun görüşü ile en geç üç ay içerisinde,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2. Mülkiyeti 5018 sayılı Kamu Mali Yönetimi ve Kontrol Kanununun eki (II) sayılı cetvelde yer alan kamu idareleri ile mahalli idarelere ait olanlar, Bakanlığın talebi üzerine ilgili idarenin uygun görüşü ile en geç üç ay içinde bedelsiz olarak Hazine adına tapuya tescil edilerek, Bakanlığa tahsis edilir.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Hazineye ait olup halen Bakanlığa tahsisli taşınmaz mallar, bu Kanun kapsamında Bakanlıkça tahsis edilebilir.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Bu taşınmaz malların tahsisi, kiralanması ve bunlar üzerinde bağımsız ve sürekli üst hakkı tesisine ilişkin esaslar ile süreler, taşınmaz malın bulunduğu yer itibariyle bedeller, hakların sona ermesi ve diğer şartlar, Bakanlık ve Maliye Bakanlığınca 2886 sayılı Devlet İhale Kanununa bağlı olmaksızın müştereken tespit edilir.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Bu taşınmaz mallar üzerinde bağımsız ve sürekli nitelikli üst hakları dahil olmak üzere irtifak hakkı tesisi ve bunlardan alt yapı için gerekli olanlar üzerinde, alt yapıyı gerçekleştirecek kamu kurumu lehine bedelsiz irtifak hakkı tesisi, Bakanlığın uygun görüşü üzerine, Maliye Bakanlığınca belirlenen koşullarla ve bu Bakanlık tarafından yapılır.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Bu Kanuna göre tahsis edilen, ancak tahsisi iptal edilen veya tahsis süresi sona eren taşınmaz mallar üzerinde bulunan yapı, tesis ve müştemilat bedelsiz olarak Hazineye intikal eder. İlgililer, bunlar için herhangi bir hak veya bedel talep edemez.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İl özel idareleri ile belediyeler, mülkiyetlerinde olan taşınmaz malları, Bakanlığın uygun görüşü üzerine bu Kanun hükümlerine göre tahsis edebilirler.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Bu bendin uygulanması ile ilgili usul ve esaslar Maliye Bakanlığı ve Bakanlıkça müştereken çıkarılacak bir yönetmelikle düzenlenir.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 Gelir vergisi stopajı indirimi; bu Kanun uyarınca belge almış kurumlar vergisi mükellefi yatırımcı veya girişimcilerin, </w:t>
            </w:r>
            <w:r w:rsidRPr="005C3801">
              <w:rPr>
                <w:rFonts w:ascii="Tahoma" w:eastAsia="Times New Roman" w:hAnsi="Tahoma" w:cs="Tahoma"/>
                <w:color w:val="000000"/>
                <w:sz w:val="18"/>
                <w:szCs w:val="18"/>
                <w:lang w:val="tr-TR" w:eastAsia="tr-TR" w:bidi="ar-SA"/>
              </w:rPr>
              <w:lastRenderedPageBreak/>
              <w:t xml:space="preserve">ilgili idareye verecekleri aylık sigorta prim bordrolarında bildirdikleri, münhasıran belgeli yatırım veya girişimde çalıştıracakları işçilerin ücretleri üzerinden hesaplanan gelir vergisinin, yatırım aşamasında üç yılı aşmamak kaydıyla %50'si, işletme aşamasında ise yedi yılı aşmamak kaydıyla %25'i, verilecek muhtasar beyanname üzerinden tahakkuk eden vergiden terkin edilir.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Bu bendin uygulanmasına ilişkin usul ve esaslar Maliye Bakanlığınca belirlenir.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c) Sigorta primi işveren paylarında indirim; bu Kanun uyarınca belgelendirilmiş kurumlar vergisi mükellefi yatırımcı veya girişimcilerin, ilgili idareye verecekleri aylık sigorta prim bordrolarında bildirdikleri, münhasıran belgeli yatırım veya girişimde çalıştıracakları işçilerin, 506 sayılı Sosyal Sigortalar Kanununun 72 ve 73 üncü maddeleri uyarınca prime esas kazançları üzerinden hesaplanan sigorta primlerinin işveren hissesinin, yatırım aşamasında üç yılı aşmamak şartıyla %50'si, işletme aşamasında ise yedi yılı aşmamak şartıyla %25'i, Hazinece karşılanır.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Bu bendin uygulanması ile yatırım veya işletmenin niteliği dikkate alınarak mükellefin çalıştırabileceği azami işçi sayısına ilişkin usul ve esaslar Maliye Bakanlığı, Çalışma ve Sosyal Güvenlik Bakanlığı ile Hazine Müsteşarlığının bağlı olduğu Bakanlıkça müştereken belirlenir.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d) Su bedeli indirimi ve enerji desteği; kültür yatırımı ve girişimleri; su ücretlerini yatırım veya girişimin bulunduğu yörede uygulanan tarifelerden en düşüğü üzerinden öderler. Bu yatırım veya girişimin elektrik enerjisi ve doğal gaz giderlerinin %20'si beş yıl süreyle Hazinece karşılanır.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Bu bendin uygulanması ile enerji giderlerinin iadesine ilişkin süreler, iadenin nakden veya mahsuben yapılmasına ilişkin usul ve esaslar, Maliye Bakanlığı, Enerji ve Tabii Kaynaklar Bakanlığı ile Hazine Müsteşarlığının bağlı bulunduğu Bakanlıkça müştereken belirlenir.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e) Yabancı uzman personel ve sanatçı çalıştırabilme; belgeli yatırım veya girişimlerde, Bakanlık ve İçişleri Bakanlığının görüşü alınarak Çalışma ve Sosyal Güvenlik Bakanlığınca verilen izinle yabancı uzman personel ve sanatçı çalıştırılabilir.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Ancak bu şekilde çalıştırılan yabancı personelin sayısı toplam personelin %10'unu aşamaz. Bu oran Bakanlıkça %20'ye kadar artırılabilir. Bu personel, en erken işletmenin faaliyete geçmesinin üç ay öncesinden itibaren çalışmaya başlayabilir.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f) Hafta sonu ve resmi tatillerde faaliyette bulunabilme; belgeli girişimler ile belge kapsamındaki diğer birimler belgede belirlenen çalışma süresi içinde hafta sonu ve resmi tatillerde de faaliyetlerine devam edebilirler.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Bu maddenin (b), (c ) ve (d) bentlerinin uygulanmasında yöresel gelişim farklılıkları, proje türleri ile faaliyetin yapıldığı yerin tescilli taşınmaz kültür varlığı olması dikkate alınarak, bu bentlerde belirtilen oranları yarısına kadar indirmeye veya kanuni oranlarına çıkarmaya Bakanlar Kurulu yetkilidir. </w:t>
            </w:r>
          </w:p>
        </w:tc>
      </w:tr>
    </w:tbl>
    <w:p w:rsid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lastRenderedPageBreak/>
        <w:t>Teşvik Esasları</w:t>
      </w:r>
    </w:p>
    <w:p w:rsidR="005C3801" w:rsidRP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br/>
        <w:t xml:space="preserve">Madde 6- </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9684"/>
      </w:tblGrid>
      <w:tr w:rsidR="005C3801" w:rsidRPr="005C3801" w:rsidTr="005C3801">
        <w:trPr>
          <w:tblCellSpacing w:w="15" w:type="dxa"/>
        </w:trPr>
        <w:tc>
          <w:tcPr>
            <w:tcW w:w="9624" w:type="dxa"/>
            <w:vAlign w:val="center"/>
            <w:hideMark/>
          </w:tcPr>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Bakanlık, bu Kanunun uygulanmasına yönelik tercih ve öncelikleri belirlemeye yetkilidir.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5 inci maddenin (b), (c) ve (d) bentlerindeki teşvik ve indirim unsurlarından yararlanan kültür yatırım ve girişimleri için başka bir teşvik mevzuatında da benzer teşvik ve indirimlerin bulunması halinde, yatırımcı veya girişimcinin lehine olan hükümler uygulanır.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Kültür yatırımı veya girişimlerine yönelik teşvik ve indirim unsurları ile bunlardan yararlanmaya yönelik diğer usul ve esaslar, Bakanlık ve ilgili bakanlıklar ile Hazine ve Devlet Planlama Teşkilatı müsteşarlıklarınca müştereken tespit edilir. </w:t>
            </w:r>
          </w:p>
        </w:tc>
      </w:tr>
    </w:tbl>
    <w:p w:rsidR="005C3801" w:rsidRP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t>Belge</w:t>
      </w:r>
      <w:r w:rsidRPr="005C3801">
        <w:rPr>
          <w:rFonts w:ascii="Tahoma" w:eastAsia="Times New Roman" w:hAnsi="Tahoma" w:cs="Tahoma"/>
          <w:b/>
          <w:bCs/>
          <w:color w:val="000000"/>
          <w:sz w:val="18"/>
          <w:szCs w:val="18"/>
          <w:lang w:val="tr-TR" w:eastAsia="tr-TR" w:bidi="ar-SA"/>
        </w:rPr>
        <w:br/>
        <w:t xml:space="preserve">Madde 7- </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9684"/>
      </w:tblGrid>
      <w:tr w:rsidR="005C3801" w:rsidRPr="005C3801" w:rsidTr="005C3801">
        <w:trPr>
          <w:tblCellSpacing w:w="15" w:type="dxa"/>
        </w:trPr>
        <w:tc>
          <w:tcPr>
            <w:tcW w:w="9624" w:type="dxa"/>
            <w:vAlign w:val="center"/>
            <w:hideMark/>
          </w:tcPr>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Kültür yatırımı belgesi veya kültür girişimi belgesi Bakanlıkça verilir. Belge, yatırım veya girişimin nitelik ve nicelikleri esas alınarak düzenlenir. Belge alanlar, bu Kanun ve ilgili mevzuatta yer alan diğer teşvik ve indirim unsurlarından </w:t>
            </w:r>
            <w:r w:rsidRPr="005C3801">
              <w:rPr>
                <w:rFonts w:ascii="Tahoma" w:eastAsia="Times New Roman" w:hAnsi="Tahoma" w:cs="Tahoma"/>
                <w:color w:val="000000"/>
                <w:sz w:val="18"/>
                <w:szCs w:val="18"/>
                <w:lang w:val="tr-TR" w:eastAsia="tr-TR" w:bidi="ar-SA"/>
              </w:rPr>
              <w:lastRenderedPageBreak/>
              <w:t xml:space="preserve">yararlanırlar.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Yatırımların Bakanlıkça belirlenen süreler içinde başlaması, tamamlanması ve işletme aşamasına geçilmesi zorunludur. Ancak, mücbir sebeplerden dolayı Bakanlıkça bu süreler uzatılabilir.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Belgelendirme işlemlerinin usul ve esasları Bakanlıkça çıkarılacak yönetmelikle belirlenir. </w:t>
            </w:r>
          </w:p>
        </w:tc>
      </w:tr>
    </w:tbl>
    <w:p w:rsid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lastRenderedPageBreak/>
        <w:t>Alt Yapı Hizmetleri</w:t>
      </w:r>
    </w:p>
    <w:p w:rsidR="005C3801" w:rsidRP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br/>
        <w:t xml:space="preserve">Madde 8- </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9684"/>
      </w:tblGrid>
      <w:tr w:rsidR="005C3801" w:rsidRPr="005C3801" w:rsidTr="005C3801">
        <w:trPr>
          <w:tblCellSpacing w:w="15" w:type="dxa"/>
        </w:trPr>
        <w:tc>
          <w:tcPr>
            <w:tcW w:w="9624" w:type="dxa"/>
            <w:vAlign w:val="center"/>
            <w:hideMark/>
          </w:tcPr>
          <w:p w:rsidR="005C3801" w:rsidRPr="005C3801" w:rsidRDefault="005C3801" w:rsidP="005C3801">
            <w:pPr>
              <w:spacing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Kültür merkezlerinin yol, su, kanalizasyon, doğalgaz, elektrik, telekomünikasyon ve diğer altyapı ihtiyaçlarının ilgili kamu kuruluşlarınca öncelikle tamamlanması zorunludur. </w:t>
            </w:r>
          </w:p>
        </w:tc>
      </w:tr>
    </w:tbl>
    <w:p w:rsid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t>İzin Alma ve Bilgi Verme Zorunluluğu</w:t>
      </w:r>
    </w:p>
    <w:p w:rsidR="005C3801" w:rsidRP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br/>
        <w:t xml:space="preserve">Madde 9- </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9684"/>
      </w:tblGrid>
      <w:tr w:rsidR="005C3801" w:rsidRPr="005C3801" w:rsidTr="005C3801">
        <w:trPr>
          <w:tblCellSpacing w:w="15" w:type="dxa"/>
        </w:trPr>
        <w:tc>
          <w:tcPr>
            <w:tcW w:w="9624" w:type="dxa"/>
            <w:vAlign w:val="center"/>
            <w:hideMark/>
          </w:tcPr>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Belge sahibi tüzel kişiliğin şirket ana sözleşmesinin, ortaklık statüsü veya yapısının değiştirilmesi, belgeye konu yapı veya tesisin veya aynı amaçlarla kullanılmak üzere devredilmesi, kiraya verilmesi ile girişim konularının kültür girişimi niteliğini koruması kaydıyla kısmen veya tamamen değiştirilmesi Bakanlığın iznine tabidir.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Ancak, tesisin bütünlüğünün bozulmaması ve Bakanlığa bilgi verilmesi kaydıyla, kültür merkezlerinin sınıflandırma ve belgelendirilmeye esas asgari bölümlerinin dışında kalan birimleri kiraya verilebilir.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Belgeli yatırım ve girişimler, yıllık faaliyet raporlarını bir sonraki yılın ocak ayı içerisinde Bakanlığa bildirmekle yükümlüdürler. </w:t>
            </w:r>
          </w:p>
        </w:tc>
      </w:tr>
    </w:tbl>
    <w:p w:rsid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t>Devir ve Faaliyetin Sona Ermesi Hallerinde Teşvik Hükümleri</w:t>
      </w:r>
    </w:p>
    <w:p w:rsidR="005C3801" w:rsidRP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br/>
        <w:t xml:space="preserve">Madde 10- </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9684"/>
      </w:tblGrid>
      <w:tr w:rsidR="005C3801" w:rsidRPr="005C3801" w:rsidTr="005C3801">
        <w:trPr>
          <w:tblCellSpacing w:w="15" w:type="dxa"/>
        </w:trPr>
        <w:tc>
          <w:tcPr>
            <w:tcW w:w="9624" w:type="dxa"/>
            <w:vAlign w:val="center"/>
            <w:hideMark/>
          </w:tcPr>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Belgeli yatırımı veya girişimi Bakanlığın izni ile devralanlar da kalan süre için bu Kanun hükümleri çerçevesinde teşvik ve indirim uygulamasından yararlanırlar.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Yatırım veya girişimlere 213 sayılı Vergi Usul Kanununda belirtilen mücbir sebeplerle son verilmesi halleri hariç olmak üzere, bu Kanun uyarınca belge alan yatırımcılar veya girişimcilerin, faaliyetlerini sona erdirmeleri ve bir yıl içinde tekrar başlamamaları halinde, yatırım aşamasında yararlandıkları istisna, muafiyet ve hakların parasal tutarını ilgili mevzuat hükümleri gereğince ödemekle yükümlüdürler. İstisna hallerinde ödeme yükümlülüğünün kaldırılmasına Maliye Bakanlığı ve Devlet Planlama Teşkilatı Müsteşarlığının uygun görüşü alınarak Bakanlıkça karar verilir. </w:t>
            </w:r>
          </w:p>
        </w:tc>
      </w:tr>
    </w:tbl>
    <w:p w:rsid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t>Denetleme Yetkisi</w:t>
      </w:r>
    </w:p>
    <w:p w:rsidR="005C3801" w:rsidRP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br/>
        <w:t xml:space="preserve">Madde 11- </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9684"/>
      </w:tblGrid>
      <w:tr w:rsidR="005C3801" w:rsidRPr="005C3801" w:rsidTr="005C3801">
        <w:trPr>
          <w:tblCellSpacing w:w="15" w:type="dxa"/>
        </w:trPr>
        <w:tc>
          <w:tcPr>
            <w:tcW w:w="9624" w:type="dxa"/>
            <w:vAlign w:val="center"/>
            <w:hideMark/>
          </w:tcPr>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Belgeli yatırım veya girişimleri, bunların belgeye esas olan niteliklerini, bu niteliklerini koruyup korumadıklarını denetleme; bulunduğu yerin kültürel gereksinimlerini dikkate alarak kültür merkezlerini sınıflandırma ve belgelendirmeye esas asgari bölümleri ile diğer bölümleri arasında farklı oranlar belirleme yetkisi münhasıran Bakanlığa aittir.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Bakanlığın gerek görmesi halinde belgelendirme, denetleme ve sınıflandırmaya esas oluşturacak tespitler, Bakanlıkça yetkili kılınacak gerçek veya tüzel kişilere de yaptırılabilir. Ancak, karar alma ve uygulama yetkisi Bakanlığa aittir. Bu kişilerin nitelikleri, seçilme usulleri, görev, yetki ve sorumlulukları, çalışma ile tespite yönelik usul ve esaslar; Bakanlık denetim elemanlarının görev, yetki ve sorumlulukları ile çalışma usul ve esasları Bakanlıkça çıkarılacak yönetmeliklerle belirlenir. </w:t>
            </w:r>
          </w:p>
        </w:tc>
      </w:tr>
    </w:tbl>
    <w:p w:rsidR="005C3801" w:rsidRP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t>Cezalar</w:t>
      </w:r>
      <w:r w:rsidRPr="005C3801">
        <w:rPr>
          <w:rFonts w:ascii="Tahoma" w:eastAsia="Times New Roman" w:hAnsi="Tahoma" w:cs="Tahoma"/>
          <w:b/>
          <w:bCs/>
          <w:color w:val="000000"/>
          <w:sz w:val="18"/>
          <w:szCs w:val="18"/>
          <w:lang w:val="tr-TR" w:eastAsia="tr-TR" w:bidi="ar-SA"/>
        </w:rPr>
        <w:br/>
        <w:t xml:space="preserve">Madde 12- </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9684"/>
      </w:tblGrid>
      <w:tr w:rsidR="005C3801" w:rsidRPr="005C3801" w:rsidTr="005C3801">
        <w:trPr>
          <w:tblCellSpacing w:w="15" w:type="dxa"/>
        </w:trPr>
        <w:tc>
          <w:tcPr>
            <w:tcW w:w="9624" w:type="dxa"/>
            <w:vAlign w:val="center"/>
            <w:hideMark/>
          </w:tcPr>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Bu Kanuna ve bu Kanunun uygulanmasına ilişkin düzenleyici işlemlere aykırı hareket edenlere diğer mevzuattaki ceza hükümleri saklı kalmak kaydıyla aşağıdaki bentlerde belirtilen uyarma, para ve belge iptali cezaları uygulanır.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a) Uyarma cezası, kültür yatırımı veya girişimlerinin yönetim veya işletilmelerinde görülecek kusur, aksaklık ve eksiklikler </w:t>
            </w:r>
            <w:r w:rsidRPr="005C3801">
              <w:rPr>
                <w:rFonts w:ascii="Tahoma" w:eastAsia="Times New Roman" w:hAnsi="Tahoma" w:cs="Tahoma"/>
                <w:color w:val="000000"/>
                <w:sz w:val="18"/>
                <w:szCs w:val="18"/>
                <w:lang w:val="tr-TR" w:eastAsia="tr-TR" w:bidi="ar-SA"/>
              </w:rPr>
              <w:lastRenderedPageBreak/>
              <w:t xml:space="preserve">için, belge sahibine denetim elemanlarının tespitleri doğrultusunda Bakanlıkça verilir.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 Belge sahibine, yatırım veya girişimin nitelikleri veya nicelikleri dikkate alınarak, aşağıda belirtilen durumlarda ve miktarlar arasında;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1. Uyarma cezasına rağmen, gerekli düzeltmenin yapılmaması veya ilk cezanın tebliğinen itibaren bir yıl içerisinde yeni uyarma cezasını gerektiren fiil veya fiillerin tespiti ile bu Kanunda belirtilen veya Bakanlıkça istenilen bilgi veya belgelerin süresi içerisinde verilmemesi veya yanıltıcı bilgi veya belge verilmesi hallerinde birmilyar lira,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2. Bakanlığa bilgi verilmeksizin, girişim belgeli tesisin tamamının veya kültür merkezlerinde kültürel faaliyetlerin yürütüldüğü belgelendirmeye esas bölümlerin, bir yıl içinde aralıksız olarak doksan günden fazla süreyle kapalı tutulması halinde birmilyar lira,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3. Yazı, reklam, afiş, broşür ve benzeri araçlarla Bakanlığın veya üçüncü kişilerin yanıltılması veya yanıltıcı unvan kullanılması veya taahhüt edilen hizmetin verilmemesi veya eksik verilmesi halinde özel hükümler saklı kalmak kaydıyla ikimilyar lira,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4. Belgeli tesiste bulunanların can veya mal güvenliğinin sağlanmasında, belge sahibi veya tesis sahibi veya sorumlusu veya personelin kusuru veya ihmaliyle işletmede suç işlendiğinin tespiti halinde, özel hükümler saklı kalmak kaydıyla ikimilyar lira,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5. Bu Kanun ve ilgili mevzuatta yer alan diğer teşvik unsurlarından yararlanan belge sahiplerinin teşvik unsurlarını, amacı dışında kullanmaları halinde ikimilyar lira,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6. Genel sağlık açısından tesisin vasıflarını önemli ölçüde yitirmiş olduğunun tespiti halinde ikimilyar lira,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7. Belgeli yatırım veya girişimin belgelendirmeye esas vasıflarını yitirmiş olduğunun tespiti halinde ikimilyar lira,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8. Bakanlıktan tahsisli yatırım veya girişimin, tahsis koşulları saklı kalmak kaydıyla, izinsiz olarak tümünün veya bir kısmının devredilmesi, kiraya verilmesi, şirket ana sözleşmesinin, ortaklık statüsünün veya yapısının, değiştirilmesi hallerinde ikimilyar lira,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Para cezası uygulanır.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Para cezaları; ilk para cezasının tebliğinden itibaren bir yıl içinde ikinci kez para cezası gerektiren hallerde, uygulanmış olan birinci para cezası ile ikinci para cezası toplamına esas teşkil eden tutar kadar, üçüncü kez para cezasını gerektiren hallerde ise, uygulanmış olan birinci ve ikinci para cezaları ile üçüncü para cezasının toplamı kadar verilir.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Bu maddedeki para cezalarının uygulanmasına dair, denetim elemanları tarafından düzenlenen ceza tutanağı, yedi gün içinde ödenmek üzere, Bakanlıkça ilgili yatırımcı veya girişimciye tebliğ edilir. Bu süre içinde ödenmeyen para cezası, 6183 sayılı Amme Alacaklarının Tahsil Usulü Hakkında Kanuna göre Maliye Bakanlığınca tahsil edilir.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Bu bendin (5) numaralı alt bendi uyarınca para cezası verilmesi, 213 sayılı Vergi Usul Kanunu hükümlerine göre tarhiyat yapılmasına engel teşkil etmez.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Dava açılması para cezasının tahsilini durdurmaz. Bu bentte yer alan para cezalarının tutarı her yıl Maliye Bakanlığınca ilan edilen yeniden değerleme oranında artırılır. Bakanlar Kurulu bu bentte yer alan para cezalarını iki katına kadar artırmaya veya yarısına kadar indirmeye, yatırım veya girişimin nitelik veya niceliklerine göre bu sınırlar arasında farklı oranlar tespit etmeye yetkilidir. Bu bendin uygulanmasına ilişkin usul ve esaslar Bakanlıkça çıkarılacak yönetmelikle düzenlenir.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lastRenderedPageBreak/>
              <w:t xml:space="preserve">c) Kültür yatırımı veya kültür girişimi belgesi;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1. İlk para cezasının tebliğinden itibaren bir yıl içinde dördüncü kez para cezasını gerektiren bir durumun tespiti,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2. Belgeli tesisin faaliyetine son verilmesi,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3. Bu maddenin (b) bendinin (4) numaralı alt bendindeki şartların gerçekleşmesi ve tesisin açık kalmasının kamu güvenliği açısından sakınca yaratması,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4. Tesisin açık kalmasının veya girişimin sürdürülmesinin kültür varlıkları veya kültürel değerler açısından sakınca yaratması,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5. Bu maddenin (b) bendinin (6) ve (7) numaralı alt bentlerindeki durumlardan birinin gerçekleşmesi sonrasında eksikliğin iki ay içerisinde giderilmemesi,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Hallerinde Bakanlıkça iptal edilir.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Para cezalarına karşı yedi gün içinde Bakanlığa itiraz edilebilir. Bakanlık, itiraz üzerine en geç bir ay içinde denetim elemanlarınca verilen para cezalarını, aynen veya değiştirerek kabul edebilir veya kaldırabilir.</w:t>
            </w:r>
          </w:p>
        </w:tc>
      </w:tr>
    </w:tbl>
    <w:p w:rsidR="005C3801" w:rsidRP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lastRenderedPageBreak/>
        <w:br/>
        <w:t xml:space="preserve">Madde 13- </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9684"/>
      </w:tblGrid>
      <w:tr w:rsidR="005C3801" w:rsidRPr="005C3801" w:rsidTr="005C3801">
        <w:trPr>
          <w:tblCellSpacing w:w="15" w:type="dxa"/>
        </w:trPr>
        <w:tc>
          <w:tcPr>
            <w:tcW w:w="9624" w:type="dxa"/>
            <w:vAlign w:val="center"/>
            <w:hideMark/>
          </w:tcPr>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a) 16.4.2003 tarihli ve 4848 sayılı Kültür ve Turizm Bakanlığı Teşkilat ve Görevleri Hakkında Kanunun 9 uncu maddesinin (h) bendinin sonuna aşağıdaki ibare eklenmiştir.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kültür yatırımları ve girişimlerinin belgelendirme işlemlerini ilgili birimlerin koordinasyonunda yürütmek, bunların faaliyetlerini denetlemek, kültür varlıklarının tahsis, restorasyon, restitüsyonlarıyla ilgili ihale ve kontrollük işlerini yapmak veya yaptırmak,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 4848 sayılı Kanunun 12 nci maddesinin (o) bendinde yer alan "restorasyon, restitüsyon" ibaresi metinden çıkarılmış ve aynı bentteki "kontrollük işlerini yapmak ve yaptırmak" ibaresi aşağıdaki şekilde değiştirilmiştir.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kontrollük işleri ile kültür merkezlerine ilişkin yatırımların ve girişimlerin belgelendirilmesine ve denetlenmesine yönelik işlemleri yapmak veya yaptırmak,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c) 4848 sayılı Kanunun 13 üncü maddesinin birinci fıkrasının (c) bendi aşağıdaki şekilde değiştirilmiş, (f) bendindeki "turist rehberliği kursları açmak, rehberlerin yetiştirilmesini sağlamak" ibaresi ile (j) bendindeki "turist rehberlerinin faaliyetlerini denetlemek" ibaresi madde metninden çıkartılmış ve maddeye aşağıdaki (m) bendi eklenmiştir.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c) Somut olmayan kültürel mirasın araştırılması, derlenmesi, arşivlenmesi, tanıtımı, tescili, bu kapsamda tespit ve tescil kurullarının oluşturulması, ulusal ve uluslararası kurum ve kuruluşlar arasında bu konuda koordinasyonun sağlanması, işbirliği geliştirilmesi,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m) Rehberlik kursları açmak, rehber adaylarının seçme sınavlarını yapmak, rehberlerin çalışma usul ve esaslarını düzenlemek, rehberlerin bilgilerinin güncellenmesine yönelik eğitim programları ve diğer çalışmaları gerçekleştirmek, rehberlikte uzmanlaşmayı sağlamak, denetimler yapmak, belgesiz rehberliği önlemek, rehberlik hizmetlerinin etkin ve verimli bir şekilde yürütülmesine yönelik gerekli tedbirleri almak veya bu görevlerin meslek kuruluşları, üniversiteler, ilgili kurum ve kuruluşlar ile işbirliğiyle veya Bakanlığın denetim gözetimi altında bunlarca yapılması suretiyle yürütülmesini sağlamak. </w:t>
            </w:r>
          </w:p>
        </w:tc>
      </w:tr>
    </w:tbl>
    <w:p w:rsidR="005C3801" w:rsidRP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br/>
        <w:t xml:space="preserve">Madde 14- </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9684"/>
      </w:tblGrid>
      <w:tr w:rsidR="005C3801" w:rsidRPr="005C3801" w:rsidTr="005C3801">
        <w:trPr>
          <w:tblCellSpacing w:w="15" w:type="dxa"/>
        </w:trPr>
        <w:tc>
          <w:tcPr>
            <w:tcW w:w="9624" w:type="dxa"/>
            <w:vAlign w:val="center"/>
            <w:hideMark/>
          </w:tcPr>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a) 19.6.1979 tarihli ve 2252 sayılı Kültür Bakanlığı Döner Sermaye Kanununun 1 inci maddesindeki "50 milyon " ibaresi </w:t>
            </w:r>
            <w:r w:rsidRPr="005C3801">
              <w:rPr>
                <w:rFonts w:ascii="Tahoma" w:eastAsia="Times New Roman" w:hAnsi="Tahoma" w:cs="Tahoma"/>
                <w:color w:val="000000"/>
                <w:sz w:val="18"/>
                <w:szCs w:val="18"/>
                <w:lang w:val="tr-TR" w:eastAsia="tr-TR" w:bidi="ar-SA"/>
              </w:rPr>
              <w:lastRenderedPageBreak/>
              <w:t xml:space="preserve">"üçyüz trilyon", "300 milyon" ibaresi "yediyüz trilyon" olarak değiştirilmiştir.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 2252 sayılı Kanunun 3 üncü maddesinin ikinci fıkrasına "ayrıca" ibaresinden sonra gelmek üzere "kültür veya turizm yatırımlarının alt yapı hizmetlerini yapmak" ibaresi eklenmiştir.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c) 2252 sayılı Kanunun 4 üncü maddesinin ikinci fıkrası aşağıdaki şekilde değiştirilmiştir.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Döner Sermayeden elde edilecek gelirlerden Döner Sermaye İşletmesi Merkez Müdürlüğü görevini fiilen yürütene her ay, Döner Sermaye İşletmesi Merkez Müdürünün bir ayda alacağı aylık (ek gösterge dahil), yan ödeme ve her türlü tazminat (makam, temsil ve görev tazminatı hariç) tutarının %100'ünü aşmamak üzere ek ödeme yapılabilir. </w:t>
            </w:r>
          </w:p>
          <w:p w:rsidR="005C3801" w:rsidRPr="005C3801" w:rsidRDefault="005C3801" w:rsidP="005C3801">
            <w:pPr>
              <w:spacing w:before="100" w:beforeAutospacing="1" w:after="100" w:afterAutospacing="1"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d) 2252 sayılı Kanunun 5 inci maddesinin başına "Her türlü alt yapı katılım payları ile" ibaresi ile aynı maddeye aşağıdaki bent eklenmiştir.</w:t>
            </w:r>
          </w:p>
        </w:tc>
      </w:tr>
    </w:tbl>
    <w:p w:rsidR="005C3801" w:rsidRP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lastRenderedPageBreak/>
        <w:br/>
        <w:t xml:space="preserve">Madde 15- </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1250"/>
      </w:tblGrid>
      <w:tr w:rsidR="005C3801" w:rsidRPr="005C3801">
        <w:trPr>
          <w:tblCellSpacing w:w="15" w:type="dxa"/>
        </w:trPr>
        <w:tc>
          <w:tcPr>
            <w:tcW w:w="0" w:type="auto"/>
            <w:vAlign w:val="center"/>
            <w:hideMark/>
          </w:tcPr>
          <w:p w:rsidR="005C3801" w:rsidRPr="005C3801" w:rsidRDefault="005C3801" w:rsidP="005C3801">
            <w:pPr>
              <w:spacing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Bu Kanunda belirtilen yönetmelikler Kanunun yayımı tarihinden itibaren bir yıl içinde çıkarılır. </w:t>
            </w:r>
          </w:p>
        </w:tc>
      </w:tr>
    </w:tbl>
    <w:p w:rsidR="005C3801" w:rsidRP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t>Yürürlük</w:t>
      </w:r>
      <w:r w:rsidRPr="005C3801">
        <w:rPr>
          <w:rFonts w:ascii="Tahoma" w:eastAsia="Times New Roman" w:hAnsi="Tahoma" w:cs="Tahoma"/>
          <w:b/>
          <w:bCs/>
          <w:color w:val="000000"/>
          <w:sz w:val="18"/>
          <w:szCs w:val="18"/>
          <w:lang w:val="tr-TR" w:eastAsia="tr-TR" w:bidi="ar-SA"/>
        </w:rPr>
        <w:br/>
        <w:t xml:space="preserve">Madde 16- </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9684"/>
      </w:tblGrid>
      <w:tr w:rsidR="005C3801" w:rsidRPr="005C3801" w:rsidTr="005C3801">
        <w:trPr>
          <w:tblCellSpacing w:w="15" w:type="dxa"/>
        </w:trPr>
        <w:tc>
          <w:tcPr>
            <w:tcW w:w="9624" w:type="dxa"/>
            <w:vAlign w:val="center"/>
            <w:hideMark/>
          </w:tcPr>
          <w:p w:rsidR="005C3801" w:rsidRPr="005C3801" w:rsidRDefault="005C3801" w:rsidP="005C3801">
            <w:pPr>
              <w:spacing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 xml:space="preserve">Bu Kanunun 5 inci maddesinin (b), (c) ve (d) bentleri yayımını izleyen aybaşında, 5 inci maddesinin (a) bendinin (2) numaralı alt bendi 1.1.2005 tarihinde, diğer maddeleri yayımı tarihinde yürürlüğe girer. </w:t>
            </w:r>
          </w:p>
        </w:tc>
      </w:tr>
    </w:tbl>
    <w:p w:rsidR="005C3801" w:rsidRPr="005C3801" w:rsidRDefault="005C3801" w:rsidP="005C3801">
      <w:pPr>
        <w:spacing w:line="255" w:lineRule="atLeast"/>
        <w:jc w:val="both"/>
        <w:rPr>
          <w:rFonts w:ascii="Tahoma" w:eastAsia="Times New Roman" w:hAnsi="Tahoma" w:cs="Tahoma"/>
          <w:b/>
          <w:bCs/>
          <w:color w:val="000000"/>
          <w:sz w:val="18"/>
          <w:szCs w:val="18"/>
          <w:lang w:val="tr-TR" w:eastAsia="tr-TR" w:bidi="ar-SA"/>
        </w:rPr>
      </w:pPr>
      <w:r w:rsidRPr="005C3801">
        <w:rPr>
          <w:rFonts w:ascii="Tahoma" w:eastAsia="Times New Roman" w:hAnsi="Tahoma" w:cs="Tahoma"/>
          <w:b/>
          <w:bCs/>
          <w:color w:val="000000"/>
          <w:sz w:val="18"/>
          <w:szCs w:val="18"/>
          <w:lang w:val="tr-TR" w:eastAsia="tr-TR" w:bidi="ar-SA"/>
        </w:rPr>
        <w:t>Yürütme</w:t>
      </w:r>
      <w:r w:rsidRPr="005C3801">
        <w:rPr>
          <w:rFonts w:ascii="Tahoma" w:eastAsia="Times New Roman" w:hAnsi="Tahoma" w:cs="Tahoma"/>
          <w:b/>
          <w:bCs/>
          <w:color w:val="000000"/>
          <w:sz w:val="18"/>
          <w:szCs w:val="18"/>
          <w:lang w:val="tr-TR" w:eastAsia="tr-TR" w:bidi="ar-SA"/>
        </w:rPr>
        <w:br/>
        <w:t xml:space="preserve">Madde 17- </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1250"/>
      </w:tblGrid>
      <w:tr w:rsidR="005C3801" w:rsidRPr="005C3801">
        <w:trPr>
          <w:tblCellSpacing w:w="15" w:type="dxa"/>
        </w:trPr>
        <w:tc>
          <w:tcPr>
            <w:tcW w:w="0" w:type="auto"/>
            <w:vAlign w:val="center"/>
            <w:hideMark/>
          </w:tcPr>
          <w:p w:rsidR="005C3801" w:rsidRPr="005C3801" w:rsidRDefault="005C3801" w:rsidP="005C3801">
            <w:pPr>
              <w:spacing w:line="255" w:lineRule="atLeast"/>
              <w:jc w:val="both"/>
              <w:rPr>
                <w:rFonts w:ascii="Tahoma" w:eastAsia="Times New Roman" w:hAnsi="Tahoma" w:cs="Tahoma"/>
                <w:color w:val="000000"/>
                <w:sz w:val="18"/>
                <w:szCs w:val="18"/>
                <w:lang w:val="tr-TR" w:eastAsia="tr-TR" w:bidi="ar-SA"/>
              </w:rPr>
            </w:pPr>
            <w:r w:rsidRPr="005C3801">
              <w:rPr>
                <w:rFonts w:ascii="Tahoma" w:eastAsia="Times New Roman" w:hAnsi="Tahoma" w:cs="Tahoma"/>
                <w:color w:val="000000"/>
                <w:sz w:val="18"/>
                <w:szCs w:val="18"/>
                <w:lang w:val="tr-TR" w:eastAsia="tr-TR" w:bidi="ar-SA"/>
              </w:rPr>
              <w:t>Bu Kanun hükümlerini Bakanlar Kurulu yürütür.</w:t>
            </w:r>
          </w:p>
        </w:tc>
      </w:tr>
    </w:tbl>
    <w:p w:rsidR="007175E0" w:rsidRPr="005C3801" w:rsidRDefault="00F5345D">
      <w:pPr>
        <w:rPr>
          <w:lang w:val="tr-TR"/>
        </w:rPr>
      </w:pPr>
    </w:p>
    <w:sectPr w:rsidR="007175E0" w:rsidRPr="005C3801" w:rsidSect="005C3801">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01"/>
    <w:rsid w:val="000B1F9E"/>
    <w:rsid w:val="002F242C"/>
    <w:rsid w:val="00380749"/>
    <w:rsid w:val="003C019B"/>
    <w:rsid w:val="005C3801"/>
    <w:rsid w:val="00622B0C"/>
    <w:rsid w:val="008B6417"/>
    <w:rsid w:val="00990E20"/>
    <w:rsid w:val="00F534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9E"/>
    <w:pPr>
      <w:spacing w:after="0" w:line="240" w:lineRule="auto"/>
    </w:pPr>
    <w:rPr>
      <w:sz w:val="24"/>
      <w:szCs w:val="24"/>
    </w:rPr>
  </w:style>
  <w:style w:type="paragraph" w:styleId="Heading1">
    <w:name w:val="heading 1"/>
    <w:basedOn w:val="Normal"/>
    <w:next w:val="Normal"/>
    <w:link w:val="Heading1Char"/>
    <w:uiPriority w:val="9"/>
    <w:qFormat/>
    <w:rsid w:val="000B1F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B1F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B1F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B1F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1F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B1F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B1F9E"/>
    <w:pPr>
      <w:spacing w:before="240" w:after="60"/>
      <w:outlineLvl w:val="6"/>
    </w:pPr>
  </w:style>
  <w:style w:type="paragraph" w:styleId="Heading8">
    <w:name w:val="heading 8"/>
    <w:basedOn w:val="Normal"/>
    <w:next w:val="Normal"/>
    <w:link w:val="Heading8Char"/>
    <w:uiPriority w:val="9"/>
    <w:semiHidden/>
    <w:unhideWhenUsed/>
    <w:qFormat/>
    <w:rsid w:val="000B1F9E"/>
    <w:pPr>
      <w:spacing w:before="240" w:after="60"/>
      <w:outlineLvl w:val="7"/>
    </w:pPr>
    <w:rPr>
      <w:i/>
      <w:iCs/>
    </w:rPr>
  </w:style>
  <w:style w:type="paragraph" w:styleId="Heading9">
    <w:name w:val="heading 9"/>
    <w:basedOn w:val="Normal"/>
    <w:next w:val="Normal"/>
    <w:link w:val="Heading9Char"/>
    <w:uiPriority w:val="9"/>
    <w:semiHidden/>
    <w:unhideWhenUsed/>
    <w:qFormat/>
    <w:rsid w:val="000B1F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F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B1F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B1F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B1F9E"/>
    <w:rPr>
      <w:b/>
      <w:bCs/>
      <w:sz w:val="28"/>
      <w:szCs w:val="28"/>
    </w:rPr>
  </w:style>
  <w:style w:type="character" w:customStyle="1" w:styleId="Heading5Char">
    <w:name w:val="Heading 5 Char"/>
    <w:basedOn w:val="DefaultParagraphFont"/>
    <w:link w:val="Heading5"/>
    <w:uiPriority w:val="9"/>
    <w:semiHidden/>
    <w:rsid w:val="000B1F9E"/>
    <w:rPr>
      <w:b/>
      <w:bCs/>
      <w:i/>
      <w:iCs/>
      <w:sz w:val="26"/>
      <w:szCs w:val="26"/>
    </w:rPr>
  </w:style>
  <w:style w:type="character" w:customStyle="1" w:styleId="Heading6Char">
    <w:name w:val="Heading 6 Char"/>
    <w:basedOn w:val="DefaultParagraphFont"/>
    <w:link w:val="Heading6"/>
    <w:uiPriority w:val="9"/>
    <w:semiHidden/>
    <w:rsid w:val="000B1F9E"/>
    <w:rPr>
      <w:b/>
      <w:bCs/>
    </w:rPr>
  </w:style>
  <w:style w:type="character" w:customStyle="1" w:styleId="Heading7Char">
    <w:name w:val="Heading 7 Char"/>
    <w:basedOn w:val="DefaultParagraphFont"/>
    <w:link w:val="Heading7"/>
    <w:uiPriority w:val="9"/>
    <w:semiHidden/>
    <w:rsid w:val="000B1F9E"/>
    <w:rPr>
      <w:sz w:val="24"/>
      <w:szCs w:val="24"/>
    </w:rPr>
  </w:style>
  <w:style w:type="character" w:customStyle="1" w:styleId="Heading8Char">
    <w:name w:val="Heading 8 Char"/>
    <w:basedOn w:val="DefaultParagraphFont"/>
    <w:link w:val="Heading8"/>
    <w:uiPriority w:val="9"/>
    <w:semiHidden/>
    <w:rsid w:val="000B1F9E"/>
    <w:rPr>
      <w:i/>
      <w:iCs/>
      <w:sz w:val="24"/>
      <w:szCs w:val="24"/>
    </w:rPr>
  </w:style>
  <w:style w:type="character" w:customStyle="1" w:styleId="Heading9Char">
    <w:name w:val="Heading 9 Char"/>
    <w:basedOn w:val="DefaultParagraphFont"/>
    <w:link w:val="Heading9"/>
    <w:uiPriority w:val="9"/>
    <w:semiHidden/>
    <w:rsid w:val="000B1F9E"/>
    <w:rPr>
      <w:rFonts w:asciiTheme="majorHAnsi" w:eastAsiaTheme="majorEastAsia" w:hAnsiTheme="majorHAnsi"/>
    </w:rPr>
  </w:style>
  <w:style w:type="paragraph" w:styleId="Title">
    <w:name w:val="Title"/>
    <w:basedOn w:val="Normal"/>
    <w:next w:val="Normal"/>
    <w:link w:val="TitleChar"/>
    <w:uiPriority w:val="10"/>
    <w:qFormat/>
    <w:rsid w:val="000B1F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1F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1F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1F9E"/>
    <w:rPr>
      <w:rFonts w:asciiTheme="majorHAnsi" w:eastAsiaTheme="majorEastAsia" w:hAnsiTheme="majorHAnsi"/>
      <w:sz w:val="24"/>
      <w:szCs w:val="24"/>
    </w:rPr>
  </w:style>
  <w:style w:type="character" w:styleId="Strong">
    <w:name w:val="Strong"/>
    <w:basedOn w:val="DefaultParagraphFont"/>
    <w:uiPriority w:val="22"/>
    <w:qFormat/>
    <w:rsid w:val="000B1F9E"/>
    <w:rPr>
      <w:b/>
      <w:bCs/>
    </w:rPr>
  </w:style>
  <w:style w:type="character" w:styleId="Emphasis">
    <w:name w:val="Emphasis"/>
    <w:basedOn w:val="DefaultParagraphFont"/>
    <w:uiPriority w:val="20"/>
    <w:qFormat/>
    <w:rsid w:val="000B1F9E"/>
    <w:rPr>
      <w:rFonts w:asciiTheme="minorHAnsi" w:hAnsiTheme="minorHAnsi"/>
      <w:b/>
      <w:i/>
      <w:iCs/>
    </w:rPr>
  </w:style>
  <w:style w:type="paragraph" w:styleId="NoSpacing">
    <w:name w:val="No Spacing"/>
    <w:basedOn w:val="Normal"/>
    <w:uiPriority w:val="1"/>
    <w:qFormat/>
    <w:rsid w:val="000B1F9E"/>
    <w:rPr>
      <w:szCs w:val="32"/>
    </w:rPr>
  </w:style>
  <w:style w:type="paragraph" w:styleId="ListParagraph">
    <w:name w:val="List Paragraph"/>
    <w:basedOn w:val="Normal"/>
    <w:uiPriority w:val="34"/>
    <w:qFormat/>
    <w:rsid w:val="000B1F9E"/>
    <w:pPr>
      <w:ind w:left="720"/>
      <w:contextualSpacing/>
    </w:pPr>
  </w:style>
  <w:style w:type="paragraph" w:styleId="Quote">
    <w:name w:val="Quote"/>
    <w:basedOn w:val="Normal"/>
    <w:next w:val="Normal"/>
    <w:link w:val="QuoteChar"/>
    <w:uiPriority w:val="29"/>
    <w:qFormat/>
    <w:rsid w:val="000B1F9E"/>
    <w:rPr>
      <w:i/>
    </w:rPr>
  </w:style>
  <w:style w:type="character" w:customStyle="1" w:styleId="QuoteChar">
    <w:name w:val="Quote Char"/>
    <w:basedOn w:val="DefaultParagraphFont"/>
    <w:link w:val="Quote"/>
    <w:uiPriority w:val="29"/>
    <w:rsid w:val="000B1F9E"/>
    <w:rPr>
      <w:i/>
      <w:sz w:val="24"/>
      <w:szCs w:val="24"/>
    </w:rPr>
  </w:style>
  <w:style w:type="paragraph" w:styleId="IntenseQuote">
    <w:name w:val="Intense Quote"/>
    <w:basedOn w:val="Normal"/>
    <w:next w:val="Normal"/>
    <w:link w:val="IntenseQuoteChar"/>
    <w:uiPriority w:val="30"/>
    <w:qFormat/>
    <w:rsid w:val="000B1F9E"/>
    <w:pPr>
      <w:ind w:left="720" w:right="720"/>
    </w:pPr>
    <w:rPr>
      <w:b/>
      <w:i/>
      <w:szCs w:val="22"/>
    </w:rPr>
  </w:style>
  <w:style w:type="character" w:customStyle="1" w:styleId="IntenseQuoteChar">
    <w:name w:val="Intense Quote Char"/>
    <w:basedOn w:val="DefaultParagraphFont"/>
    <w:link w:val="IntenseQuote"/>
    <w:uiPriority w:val="30"/>
    <w:rsid w:val="000B1F9E"/>
    <w:rPr>
      <w:b/>
      <w:i/>
      <w:sz w:val="24"/>
    </w:rPr>
  </w:style>
  <w:style w:type="character" w:styleId="SubtleEmphasis">
    <w:name w:val="Subtle Emphasis"/>
    <w:uiPriority w:val="19"/>
    <w:qFormat/>
    <w:rsid w:val="000B1F9E"/>
    <w:rPr>
      <w:i/>
      <w:color w:val="5A5A5A" w:themeColor="text1" w:themeTint="A5"/>
    </w:rPr>
  </w:style>
  <w:style w:type="character" w:styleId="IntenseEmphasis">
    <w:name w:val="Intense Emphasis"/>
    <w:basedOn w:val="DefaultParagraphFont"/>
    <w:uiPriority w:val="21"/>
    <w:qFormat/>
    <w:rsid w:val="000B1F9E"/>
    <w:rPr>
      <w:b/>
      <w:i/>
      <w:sz w:val="24"/>
      <w:szCs w:val="24"/>
      <w:u w:val="single"/>
    </w:rPr>
  </w:style>
  <w:style w:type="character" w:styleId="SubtleReference">
    <w:name w:val="Subtle Reference"/>
    <w:basedOn w:val="DefaultParagraphFont"/>
    <w:uiPriority w:val="31"/>
    <w:qFormat/>
    <w:rsid w:val="000B1F9E"/>
    <w:rPr>
      <w:sz w:val="24"/>
      <w:szCs w:val="24"/>
      <w:u w:val="single"/>
    </w:rPr>
  </w:style>
  <w:style w:type="character" w:styleId="IntenseReference">
    <w:name w:val="Intense Reference"/>
    <w:basedOn w:val="DefaultParagraphFont"/>
    <w:uiPriority w:val="32"/>
    <w:qFormat/>
    <w:rsid w:val="000B1F9E"/>
    <w:rPr>
      <w:b/>
      <w:sz w:val="24"/>
      <w:u w:val="single"/>
    </w:rPr>
  </w:style>
  <w:style w:type="character" w:styleId="BookTitle">
    <w:name w:val="Book Title"/>
    <w:basedOn w:val="DefaultParagraphFont"/>
    <w:uiPriority w:val="33"/>
    <w:qFormat/>
    <w:rsid w:val="000B1F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B1F9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9E"/>
    <w:pPr>
      <w:spacing w:after="0" w:line="240" w:lineRule="auto"/>
    </w:pPr>
    <w:rPr>
      <w:sz w:val="24"/>
      <w:szCs w:val="24"/>
    </w:rPr>
  </w:style>
  <w:style w:type="paragraph" w:styleId="Heading1">
    <w:name w:val="heading 1"/>
    <w:basedOn w:val="Normal"/>
    <w:next w:val="Normal"/>
    <w:link w:val="Heading1Char"/>
    <w:uiPriority w:val="9"/>
    <w:qFormat/>
    <w:rsid w:val="000B1F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B1F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B1F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B1F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1F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B1F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B1F9E"/>
    <w:pPr>
      <w:spacing w:before="240" w:after="60"/>
      <w:outlineLvl w:val="6"/>
    </w:pPr>
  </w:style>
  <w:style w:type="paragraph" w:styleId="Heading8">
    <w:name w:val="heading 8"/>
    <w:basedOn w:val="Normal"/>
    <w:next w:val="Normal"/>
    <w:link w:val="Heading8Char"/>
    <w:uiPriority w:val="9"/>
    <w:semiHidden/>
    <w:unhideWhenUsed/>
    <w:qFormat/>
    <w:rsid w:val="000B1F9E"/>
    <w:pPr>
      <w:spacing w:before="240" w:after="60"/>
      <w:outlineLvl w:val="7"/>
    </w:pPr>
    <w:rPr>
      <w:i/>
      <w:iCs/>
    </w:rPr>
  </w:style>
  <w:style w:type="paragraph" w:styleId="Heading9">
    <w:name w:val="heading 9"/>
    <w:basedOn w:val="Normal"/>
    <w:next w:val="Normal"/>
    <w:link w:val="Heading9Char"/>
    <w:uiPriority w:val="9"/>
    <w:semiHidden/>
    <w:unhideWhenUsed/>
    <w:qFormat/>
    <w:rsid w:val="000B1F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F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B1F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B1F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B1F9E"/>
    <w:rPr>
      <w:b/>
      <w:bCs/>
      <w:sz w:val="28"/>
      <w:szCs w:val="28"/>
    </w:rPr>
  </w:style>
  <w:style w:type="character" w:customStyle="1" w:styleId="Heading5Char">
    <w:name w:val="Heading 5 Char"/>
    <w:basedOn w:val="DefaultParagraphFont"/>
    <w:link w:val="Heading5"/>
    <w:uiPriority w:val="9"/>
    <w:semiHidden/>
    <w:rsid w:val="000B1F9E"/>
    <w:rPr>
      <w:b/>
      <w:bCs/>
      <w:i/>
      <w:iCs/>
      <w:sz w:val="26"/>
      <w:szCs w:val="26"/>
    </w:rPr>
  </w:style>
  <w:style w:type="character" w:customStyle="1" w:styleId="Heading6Char">
    <w:name w:val="Heading 6 Char"/>
    <w:basedOn w:val="DefaultParagraphFont"/>
    <w:link w:val="Heading6"/>
    <w:uiPriority w:val="9"/>
    <w:semiHidden/>
    <w:rsid w:val="000B1F9E"/>
    <w:rPr>
      <w:b/>
      <w:bCs/>
    </w:rPr>
  </w:style>
  <w:style w:type="character" w:customStyle="1" w:styleId="Heading7Char">
    <w:name w:val="Heading 7 Char"/>
    <w:basedOn w:val="DefaultParagraphFont"/>
    <w:link w:val="Heading7"/>
    <w:uiPriority w:val="9"/>
    <w:semiHidden/>
    <w:rsid w:val="000B1F9E"/>
    <w:rPr>
      <w:sz w:val="24"/>
      <w:szCs w:val="24"/>
    </w:rPr>
  </w:style>
  <w:style w:type="character" w:customStyle="1" w:styleId="Heading8Char">
    <w:name w:val="Heading 8 Char"/>
    <w:basedOn w:val="DefaultParagraphFont"/>
    <w:link w:val="Heading8"/>
    <w:uiPriority w:val="9"/>
    <w:semiHidden/>
    <w:rsid w:val="000B1F9E"/>
    <w:rPr>
      <w:i/>
      <w:iCs/>
      <w:sz w:val="24"/>
      <w:szCs w:val="24"/>
    </w:rPr>
  </w:style>
  <w:style w:type="character" w:customStyle="1" w:styleId="Heading9Char">
    <w:name w:val="Heading 9 Char"/>
    <w:basedOn w:val="DefaultParagraphFont"/>
    <w:link w:val="Heading9"/>
    <w:uiPriority w:val="9"/>
    <w:semiHidden/>
    <w:rsid w:val="000B1F9E"/>
    <w:rPr>
      <w:rFonts w:asciiTheme="majorHAnsi" w:eastAsiaTheme="majorEastAsia" w:hAnsiTheme="majorHAnsi"/>
    </w:rPr>
  </w:style>
  <w:style w:type="paragraph" w:styleId="Title">
    <w:name w:val="Title"/>
    <w:basedOn w:val="Normal"/>
    <w:next w:val="Normal"/>
    <w:link w:val="TitleChar"/>
    <w:uiPriority w:val="10"/>
    <w:qFormat/>
    <w:rsid w:val="000B1F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1F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1F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1F9E"/>
    <w:rPr>
      <w:rFonts w:asciiTheme="majorHAnsi" w:eastAsiaTheme="majorEastAsia" w:hAnsiTheme="majorHAnsi"/>
      <w:sz w:val="24"/>
      <w:szCs w:val="24"/>
    </w:rPr>
  </w:style>
  <w:style w:type="character" w:styleId="Strong">
    <w:name w:val="Strong"/>
    <w:basedOn w:val="DefaultParagraphFont"/>
    <w:uiPriority w:val="22"/>
    <w:qFormat/>
    <w:rsid w:val="000B1F9E"/>
    <w:rPr>
      <w:b/>
      <w:bCs/>
    </w:rPr>
  </w:style>
  <w:style w:type="character" w:styleId="Emphasis">
    <w:name w:val="Emphasis"/>
    <w:basedOn w:val="DefaultParagraphFont"/>
    <w:uiPriority w:val="20"/>
    <w:qFormat/>
    <w:rsid w:val="000B1F9E"/>
    <w:rPr>
      <w:rFonts w:asciiTheme="minorHAnsi" w:hAnsiTheme="minorHAnsi"/>
      <w:b/>
      <w:i/>
      <w:iCs/>
    </w:rPr>
  </w:style>
  <w:style w:type="paragraph" w:styleId="NoSpacing">
    <w:name w:val="No Spacing"/>
    <w:basedOn w:val="Normal"/>
    <w:uiPriority w:val="1"/>
    <w:qFormat/>
    <w:rsid w:val="000B1F9E"/>
    <w:rPr>
      <w:szCs w:val="32"/>
    </w:rPr>
  </w:style>
  <w:style w:type="paragraph" w:styleId="ListParagraph">
    <w:name w:val="List Paragraph"/>
    <w:basedOn w:val="Normal"/>
    <w:uiPriority w:val="34"/>
    <w:qFormat/>
    <w:rsid w:val="000B1F9E"/>
    <w:pPr>
      <w:ind w:left="720"/>
      <w:contextualSpacing/>
    </w:pPr>
  </w:style>
  <w:style w:type="paragraph" w:styleId="Quote">
    <w:name w:val="Quote"/>
    <w:basedOn w:val="Normal"/>
    <w:next w:val="Normal"/>
    <w:link w:val="QuoteChar"/>
    <w:uiPriority w:val="29"/>
    <w:qFormat/>
    <w:rsid w:val="000B1F9E"/>
    <w:rPr>
      <w:i/>
    </w:rPr>
  </w:style>
  <w:style w:type="character" w:customStyle="1" w:styleId="QuoteChar">
    <w:name w:val="Quote Char"/>
    <w:basedOn w:val="DefaultParagraphFont"/>
    <w:link w:val="Quote"/>
    <w:uiPriority w:val="29"/>
    <w:rsid w:val="000B1F9E"/>
    <w:rPr>
      <w:i/>
      <w:sz w:val="24"/>
      <w:szCs w:val="24"/>
    </w:rPr>
  </w:style>
  <w:style w:type="paragraph" w:styleId="IntenseQuote">
    <w:name w:val="Intense Quote"/>
    <w:basedOn w:val="Normal"/>
    <w:next w:val="Normal"/>
    <w:link w:val="IntenseQuoteChar"/>
    <w:uiPriority w:val="30"/>
    <w:qFormat/>
    <w:rsid w:val="000B1F9E"/>
    <w:pPr>
      <w:ind w:left="720" w:right="720"/>
    </w:pPr>
    <w:rPr>
      <w:b/>
      <w:i/>
      <w:szCs w:val="22"/>
    </w:rPr>
  </w:style>
  <w:style w:type="character" w:customStyle="1" w:styleId="IntenseQuoteChar">
    <w:name w:val="Intense Quote Char"/>
    <w:basedOn w:val="DefaultParagraphFont"/>
    <w:link w:val="IntenseQuote"/>
    <w:uiPriority w:val="30"/>
    <w:rsid w:val="000B1F9E"/>
    <w:rPr>
      <w:b/>
      <w:i/>
      <w:sz w:val="24"/>
    </w:rPr>
  </w:style>
  <w:style w:type="character" w:styleId="SubtleEmphasis">
    <w:name w:val="Subtle Emphasis"/>
    <w:uiPriority w:val="19"/>
    <w:qFormat/>
    <w:rsid w:val="000B1F9E"/>
    <w:rPr>
      <w:i/>
      <w:color w:val="5A5A5A" w:themeColor="text1" w:themeTint="A5"/>
    </w:rPr>
  </w:style>
  <w:style w:type="character" w:styleId="IntenseEmphasis">
    <w:name w:val="Intense Emphasis"/>
    <w:basedOn w:val="DefaultParagraphFont"/>
    <w:uiPriority w:val="21"/>
    <w:qFormat/>
    <w:rsid w:val="000B1F9E"/>
    <w:rPr>
      <w:b/>
      <w:i/>
      <w:sz w:val="24"/>
      <w:szCs w:val="24"/>
      <w:u w:val="single"/>
    </w:rPr>
  </w:style>
  <w:style w:type="character" w:styleId="SubtleReference">
    <w:name w:val="Subtle Reference"/>
    <w:basedOn w:val="DefaultParagraphFont"/>
    <w:uiPriority w:val="31"/>
    <w:qFormat/>
    <w:rsid w:val="000B1F9E"/>
    <w:rPr>
      <w:sz w:val="24"/>
      <w:szCs w:val="24"/>
      <w:u w:val="single"/>
    </w:rPr>
  </w:style>
  <w:style w:type="character" w:styleId="IntenseReference">
    <w:name w:val="Intense Reference"/>
    <w:basedOn w:val="DefaultParagraphFont"/>
    <w:uiPriority w:val="32"/>
    <w:qFormat/>
    <w:rsid w:val="000B1F9E"/>
    <w:rPr>
      <w:b/>
      <w:sz w:val="24"/>
      <w:u w:val="single"/>
    </w:rPr>
  </w:style>
  <w:style w:type="character" w:styleId="BookTitle">
    <w:name w:val="Book Title"/>
    <w:basedOn w:val="DefaultParagraphFont"/>
    <w:uiPriority w:val="33"/>
    <w:qFormat/>
    <w:rsid w:val="000B1F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B1F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4379284-223D-4779-B005-CBF3872AF70F}">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B087FE1-D8FA-428E-A030-7CA1660B6C54}">
  <ds:schemaRefs>
    <ds:schemaRef ds:uri="http://schemas.microsoft.com/sharepoint/v3/contenttype/forms"/>
  </ds:schemaRefs>
</ds:datastoreItem>
</file>

<file path=customXml/itemProps3.xml><?xml version="1.0" encoding="utf-8"?>
<ds:datastoreItem xmlns:ds="http://schemas.openxmlformats.org/officeDocument/2006/customXml" ds:itemID="{19C6FEF8-DC93-4247-B4C1-EB26ADFE3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3141</Words>
  <Characters>17910</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Koc Holding</Company>
  <LinksUpToDate>false</LinksUpToDate>
  <CharactersWithSpaces>21009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tguzey</dc:creator>
  <cp:lastModifiedBy>Burçin Gözlüklü</cp:lastModifiedBy>
  <cp:revision>2</cp:revision>
  <dcterms:created xsi:type="dcterms:W3CDTF">2014-06-04T08:39:00Z</dcterms:created>
  <dcterms:modified xsi:type="dcterms:W3CDTF">2014-06-04T08:39:00Z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